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292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00"/>
          <w:sz w:val="24"/>
          <w:szCs w:val="24"/>
          <w:rtl w:val="0"/>
        </w:rPr>
        <w:t xml:space="preserve">Santa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00"/>
          <w:sz w:val="24"/>
          <w:szCs w:val="24"/>
          <w:rtl w:val="0"/>
        </w:rPr>
        <w:t xml:space="preserve">Rosa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4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2400"/>
          <w:sz w:val="24"/>
          <w:szCs w:val="24"/>
          <w:rtl w:val="0"/>
        </w:rPr>
        <w:t xml:space="preserve">Mendoza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00"/>
          <w:sz w:val="24"/>
          <w:szCs w:val="24"/>
          <w:rtl w:val="0"/>
        </w:rPr>
        <w:t xml:space="preserve">Lunes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00"/>
          <w:sz w:val="24"/>
          <w:szCs w:val="24"/>
          <w:rtl w:val="0"/>
        </w:rPr>
        <w:t xml:space="preserve">13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2300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00"/>
          <w:sz w:val="24"/>
          <w:szCs w:val="24"/>
          <w:rtl w:val="0"/>
        </w:rPr>
        <w:t xml:space="preserve">mayo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a2a00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80800"/>
          <w:sz w:val="24"/>
          <w:szCs w:val="24"/>
          <w:rtl w:val="0"/>
        </w:rPr>
        <w:t xml:space="preserve">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297" w:lineRule="auto"/>
        <w:ind w:right="307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00"/>
          <w:sz w:val="24"/>
          <w:szCs w:val="24"/>
          <w:rtl w:val="0"/>
        </w:rPr>
        <w:t xml:space="preserve">Resolución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0"/>
          <w:sz w:val="24"/>
          <w:szCs w:val="24"/>
          <w:rtl w:val="0"/>
        </w:rPr>
        <w:t xml:space="preserve">CD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727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d5d00"/>
          <w:sz w:val="24"/>
          <w:szCs w:val="24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f00"/>
          <w:sz w:val="24"/>
          <w:szCs w:val="24"/>
          <w:rtl w:val="0"/>
        </w:rPr>
        <w:t xml:space="preserve">004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60600"/>
          <w:sz w:val="24"/>
          <w:szCs w:val="24"/>
          <w:rtl w:val="0"/>
        </w:rPr>
        <w:t xml:space="preserve">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70700"/>
          <w:sz w:val="24"/>
          <w:szCs w:val="24"/>
          <w:rtl w:val="0"/>
        </w:rPr>
        <w:t xml:space="preserve">IES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00"/>
          <w:sz w:val="24"/>
          <w:szCs w:val="24"/>
          <w:rtl w:val="0"/>
        </w:rPr>
        <w:t xml:space="preserve">9-028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350" w:lineRule="auto"/>
        <w:ind w:left="311" w:right="788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0900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181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268" w:lineRule="auto"/>
        <w:ind w:left="321" w:right="32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 necesario realizar, en cuanto a la democratización institucional según normativa vigente, el proceso eleccionario de medio término de consejeros.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225" w:lineRule="auto"/>
        <w:ind w:left="340" w:right="3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 necesario adecuarse a la normativa establecida, en cuanto al concurso y elección de la coordinación correspondiente, a la carrera "Tecnicatura Superior en Enología e Industrias de los Alimentos", durante el periodo del mandato de la rectora.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206" w:lineRule="auto"/>
        <w:ind w:left="345" w:right="35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 necesario avanzar en la implementación del Plan de Prácticas Profesionalizantes de la tecnicatura mencionada, habilitando en concurso y posterior elección del cargo Coordinador/a.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340" w:lineRule="auto"/>
        <w:ind w:left="345" w:right="66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0b00"/>
          <w:sz w:val="24"/>
          <w:szCs w:val="24"/>
          <w:rtl w:val="0"/>
        </w:rPr>
        <w:t xml:space="preserve">CONSIDERANDO</w:t>
      </w:r>
      <w:r w:rsidDel="00000000" w:rsidR="00000000" w:rsidRPr="00000000">
        <w:rPr>
          <w:rFonts w:ascii="Times New Roman" w:cs="Times New Roman" w:eastAsia="Times New Roman" w:hAnsi="Times New Roman"/>
          <w:color w:val="8080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 Decreto N° 530/2018, Anexo II reglamenta el procedimiento para la elección de los órganos de gobierno y conducción de los establecimientos de gestión estatal de nivel superior de la Provincia de Mendoza, con sujeción a la Ley provincial N° 4934 y modificatorias-Estatuto del docente, a la Ley de Educación nacional N° 26206, a la Ley de Educación Superior N° 24521, modificada por la Ley Nacional N° 27204, la Ley de Educación Provincial N° 6970 y los acuerdos del Consejo Federal de Educación.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 Decreto N° 530/2018 en su Anexo II, Apartado 3.5 establece que las elecciones en los institutos de educación superior de gestión estatal se llevarán a cabo en el mes de octubre de cada año.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la CGES ha emitido normas complementarias y transitorias para la elección de cargos unipersonales de gestión académica en lo referido a la sustanciación de los concursos de antecedentes y oposición: Res. N° 115-CGES-2018 y modificatoria parcial, Res N° 123- CGES-18, Resol-2022-114-E-GDEMZA-CGES#DGE "Norma transitoria para la modificación de composición de claustros institucionales, Resol-2022-115-E-GDEMZA- CGES#DGE "Norma transitoria de ampliación de padrones y flexibilización de situaciones de revista para elecciones de Institutos de Nivel Superior".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 Consejo Directivo debe organizar el cronograma y garantizar que se lleve a cabo el concurso de antecedentes y oposición y la posterior elección de los cargos de gestión académica y miembros que integrarán el Consejo Directivo.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la comunidad educativa deberá elegir a la mitad de los miembros del Consejo Directivo, en el marco del Decreto 530/18.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ello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El CONSEJO DIRECTIVO del IES N° 9-028 "Prof. Estela S. Quiroga"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201" w:lineRule="auto"/>
        <w:ind w:left="3792" w:right="3892" w:firstLine="0"/>
        <w:rPr>
          <w:rFonts w:ascii="Times New Roman" w:cs="Times New Roman" w:eastAsia="Times New Roman" w:hAnsi="Times New Roman"/>
          <w:b w:val="1"/>
          <w:color w:val="2424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201" w:lineRule="auto"/>
        <w:ind w:left="3792" w:right="389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400"/>
          <w:sz w:val="24"/>
          <w:szCs w:val="24"/>
          <w:rtl w:val="0"/>
        </w:rPr>
        <w:t xml:space="preserve">RESUELVE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65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201" w:lineRule="auto"/>
        <w:ind w:left="3792" w:right="3892" w:firstLine="0"/>
        <w:rPr>
          <w:rFonts w:ascii="Times New Roman" w:cs="Times New Roman" w:eastAsia="Times New Roman" w:hAnsi="Times New Roman"/>
          <w:b w:val="1"/>
          <w:color w:val="656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201" w:lineRule="auto"/>
        <w:ind w:left="3792" w:right="3892" w:firstLine="0"/>
        <w:rPr>
          <w:rFonts w:ascii="Times New Roman" w:cs="Times New Roman" w:eastAsia="Times New Roman" w:hAnsi="Times New Roman"/>
          <w:b w:val="1"/>
          <w:color w:val="656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201" w:lineRule="auto"/>
        <w:ind w:left="3792" w:right="3892" w:firstLine="0"/>
        <w:rPr>
          <w:rFonts w:ascii="Times New Roman" w:cs="Times New Roman" w:eastAsia="Times New Roman" w:hAnsi="Times New Roman"/>
          <w:b w:val="1"/>
          <w:color w:val="656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292" w:right="268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Artículo 1ro.: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Crear el cargo de Coordinador de prácticas profesionalizantes para la tecnicatura superior en enología e industrias de los alimentos, a partir de la aprobación del plan de prácticas, por el consejo directivo en año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283" w:lineRule="auto"/>
        <w:ind w:left="292" w:right="27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2do: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Reubicar 8 horas cátedras, a partir de la renuncia de una docente, para la coordinación de Prácticas Profesionalizantes de la Tecnicatura Superior en Enología e Industria de los Alimentos.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312" w:lineRule="auto"/>
        <w:ind w:left="307" w:right="28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3ro: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Llamar a concurso público de antecedentes y oposición para adquirir la condición de "elegibles" en los cargos unipersonales de gestión académica: Coordinación de 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Tecnicatura Superior en Enología e Industrias de los Alimentos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Coordinación de prácticas profesionalizantes, hasta la finalización del mandato de la rectora.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288" w:lineRule="auto"/>
        <w:ind w:left="311" w:right="29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4to.: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Convocar a elecciones de medio término de los miembros del consejero Directivo según se establece en el decreto 530/18, el cual reglamenta la renovación en los siguientes miembros (anexo 2, art. 1 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288" w:lineRule="auto"/>
        <w:ind w:left="311" w:right="29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Consejeros Docentes: 3 (tres) miembros titulares y 2 (dos) miembros suplentes.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Consejeros No Docentes: 1 (uno) miembro titular y 1 (uno) miembro suplente.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Consejeros Estudiantes: 2 (dos) miembros titulares y 2 (dos) miembro suplente.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Consejeros Egresados: 1 (uno) miembro titular y 2 (dos) miembro suplente.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273" w:lineRule="auto"/>
        <w:ind w:left="326" w:right="3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5to.: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Aprobar el Anexo N° I de la presente resolución: "Cronograma de elecciones de Consejo Directivo, concurso de antecedentes y oposición para obtener la condición de elegible para los cargos unipersonales de gestión académica y elección de esos cargos"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292" w:lineRule="auto"/>
        <w:ind w:left="316" w:right="32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6to.: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Aprobar el Anexo N° II de la presente resolución: "Convocatoria a elecciones de Consejo Directivo y concurso de antecedentes y oposición para obtener la condición de elegible para los cargos unipersonales de gestión directiva y académica"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268" w:lineRule="auto"/>
        <w:ind w:left="311" w:right="331" w:hanging="307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Artículo 7mo.: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Disponer a los efectos del concurso que la página institucional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https://ies9028-infd.mendoza.edu.ar/sitio/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será el medio oficial de las comunicaciones.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249" w:lineRule="auto"/>
        <w:ind w:left="302" w:right="32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Artículo 8vo.: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Elevar la presente resolución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ad-referéndum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la Dirección de Educación Superior y publicar.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249" w:lineRule="auto"/>
        <w:ind w:left="302" w:right="3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“Cronograma de elecciones de Consejo Directivo y concurso de antecedentes y oposición para los cargos unipersonales de gestión directiva y académica”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5.0" w:type="dxa"/>
        <w:jc w:val="left"/>
        <w:tblInd w:w="5.999999999999996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9"/>
        <w:gridCol w:w="4254"/>
        <w:gridCol w:w="2409"/>
        <w:gridCol w:w="1843"/>
        <w:tblGridChange w:id="0">
          <w:tblGrid>
            <w:gridCol w:w="1269"/>
            <w:gridCol w:w="4254"/>
            <w:gridCol w:w="2409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Aprobación del CD al Cronograma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13/05/24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Convocatoria al concurso y proceso de elección por los medios de comunicación, el portal educativo, el boletín oficial, la página institucional.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Res. N°004/24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13/05/24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Convocatoria pública para realización de Asambleas por claustro para la conformación de 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Elevo a la DES de los miembros institucionales propuestos para actuar como Jurado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13/05/24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Inscripción Padrón claustro Egresados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24/05/24 al 6/6/24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Inscripción on line de aspirantes a cargos unipersonales de gestión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días hábiles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28/05/24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29/05/24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Asambleas para conformación Junta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Claustro Docente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28/05/2024 a 17.30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Claustro No Docente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28/05/2024 20.30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Claustro Estudiantes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29/05/2024 17.30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Claustro Egresado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29/05/2024 20.30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05/06/24 al 06/06/24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Presentación de documentación de aspirantes inscriptos: ₋ Carpeta de antecedentes con las probanzas (debidamente autenticadas).  Proyecto en formato papel en sobre cerrado Por mesa de entrada de secretaria del I.E.S. Nº 9-028, desde las 16.30 hs. hasta las 20.00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Difusión de aspirantes inscriptos por cargo y notificación de la conformación del jurado a los concursantes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10/06/24 al 11/06/24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Recepción de las impugnaciones de los aspirantes o recusaciones de miembros del Jurado (presentación por secretaria institucional)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27/05/24 al 22/06/24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Publicación Padrones Provisorios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12/06/24 a1 3/06/24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Resolución de impugnaciones o recusaciones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13/06/24 al 28/06/24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Recepción de rectificaciones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22/07/24 al 23/08/24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Actuación del jurado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898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949"/>
              <w:gridCol w:w="1949"/>
              <w:tblGridChange w:id="0">
                <w:tblGrid>
                  <w:gridCol w:w="1949"/>
                  <w:gridCol w:w="19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5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Fijar Sede, armar cronograma y convocar a la ampliación de la inscripción.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Tabulación de antecedentes.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Definir si es necesario abrir la ampliación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Recepción de proyecto de trabajo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Evaluación de los Proyectos de Trabajo.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A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Notificación de tabulación de antecedentes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B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Sorteo de orden de coloquios (48 hs antes de la defensa)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C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Defensa Pública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● Coloquio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E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22/7 al 9/ 8  Ampliación e inscripción on line de aspirantes en caso de no alcanzarse una terna en la inscripción. (recepción de la documentación, proyecto) comunicación de aspirantes.  13 y 14 de agosto recepción de impugnaciones y recusaciones 15 /08 resolución de recusaciones e impugnaciones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Ampliación 15 días hábiles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Recepción documentación secretario del IES 9-028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26/08/24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 de conocimiento por el Consejo Directivo del dictamen del Jurado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22/7/24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Publicación Padrones Definitivos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10/09/24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Presentación de listas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Oficialización de las listas por parte de la 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días hábiles previos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Difusión y Promoción de listas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22/10/24 y 23/10/24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Comicios – Escrutinio provisorio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25/10/24 al 7/11/24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Escrutinio definitivo Recepción de justificación de no 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Junta Electoral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días hábiles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8/11/24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 de conocimiento de escrutinio definitivo por parte del C.D. Elevación de lo actuado a la 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 de posesión cargos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Consejo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after="0" w:before="796" w:lineRule="auto"/>
        <w:ind w:left="7132" w:right="-113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0" w:before="796" w:lineRule="auto"/>
        <w:ind w:left="7132" w:right="-113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ind w:left="482" w:right="4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ind w:left="482" w:right="4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II- "Convocatoria a elecciones de Consejo Directivo y concurso de antecedentes y oposición para obtener la condición de elegible para los cargos unipersonales de gestión directiva y académica"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0" w:before="264" w:lineRule="auto"/>
        <w:ind w:left="499" w:right="8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</w:p>
    <w:p w:rsidR="00000000" w:rsidDel="00000000" w:rsidP="00000000" w:rsidRDefault="00000000" w:rsidRPr="00000000" w14:paraId="000000B5">
      <w:pPr>
        <w:widowControl w:val="0"/>
        <w:spacing w:after="0" w:before="302" w:lineRule="auto"/>
        <w:ind w:left="518" w:right="44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Consejo Directivo del Instituto de Educación Superior N° 9-028 "Prof. Estela S. Quiroga" convoca a elecciones de consejeros directivos, según el siguiente detalle: </w:t>
      </w:r>
    </w:p>
    <w:p w:rsidR="00000000" w:rsidDel="00000000" w:rsidP="00000000" w:rsidRDefault="00000000" w:rsidRPr="00000000" w14:paraId="000000B6">
      <w:pPr>
        <w:widowControl w:val="0"/>
        <w:spacing w:after="0" w:before="302" w:lineRule="auto"/>
        <w:ind w:left="518" w:right="44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CLAUSTRO DOCENTE: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7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(tres) consejeros titulares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2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(dos) Consejeros suplentes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0" w:before="244" w:lineRule="auto"/>
        <w:ind w:left="551" w:right="551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CLAUSTRO ESTUDIANTES: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7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(dos) consejeros titulares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25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(dos) consejeros suplentes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0" w:before="244" w:lineRule="auto"/>
        <w:ind w:left="561" w:right="570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CLAUSTRO EGRESADOS: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7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(un)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consejero titular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42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(dos) consejero suplente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249" w:lineRule="auto"/>
        <w:ind w:left="566" w:right="559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CLAUSTRO NO DOCENTE: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7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(un)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consejero titular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51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(un) consejero suplente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0" w:before="230" w:lineRule="auto"/>
        <w:ind w:left="556" w:right="46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Las condiciones para ser consejero son: </w:t>
      </w:r>
    </w:p>
    <w:p w:rsidR="00000000" w:rsidDel="00000000" w:rsidP="00000000" w:rsidRDefault="00000000" w:rsidRPr="00000000" w14:paraId="000000C3">
      <w:pPr>
        <w:widowControl w:val="0"/>
        <w:spacing w:after="0" w:before="230" w:lineRule="auto"/>
        <w:ind w:left="556" w:right="441" w:hanging="5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Docentes: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 personal docente titular en la institución o con norma de titularización pendiente por aplicación del Acuerdo Paritario año 2015 que se desempeñan en la formación inicial y continua frente a estudiantes y en las funciones de Investigación y/o Acompañamiento a Escuelas. </w:t>
      </w:r>
    </w:p>
    <w:p w:rsidR="00000000" w:rsidDel="00000000" w:rsidP="00000000" w:rsidRDefault="00000000" w:rsidRPr="00000000" w14:paraId="000000C4">
      <w:pPr>
        <w:widowControl w:val="0"/>
        <w:spacing w:after="0" w:before="249" w:lineRule="auto"/>
        <w:ind w:left="566" w:right="45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caso que el personal docente de la institución no posea las condiciones establecidas, se procederá, según se especifica en el decreto 530. </w:t>
      </w:r>
    </w:p>
    <w:p w:rsidR="00000000" w:rsidDel="00000000" w:rsidP="00000000" w:rsidRDefault="00000000" w:rsidRPr="00000000" w14:paraId="000000C5">
      <w:pPr>
        <w:widowControl w:val="0"/>
        <w:spacing w:after="0" w:before="230" w:lineRule="auto"/>
        <w:ind w:left="566" w:right="4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3600"/>
          <w:sz w:val="24"/>
          <w:szCs w:val="24"/>
          <w:rtl w:val="0"/>
        </w:rPr>
        <w:t xml:space="preserve">Estudiantes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13100"/>
          <w:sz w:val="24"/>
          <w:szCs w:val="24"/>
          <w:rtl w:val="0"/>
        </w:rPr>
        <w:t xml:space="preserve">Ser </w:t>
      </w:r>
      <w:r w:rsidDel="00000000" w:rsidR="00000000" w:rsidRPr="00000000">
        <w:rPr>
          <w:rFonts w:ascii="Times New Roman" w:cs="Times New Roman" w:eastAsia="Times New Roman" w:hAnsi="Times New Roman"/>
          <w:color w:val="333300"/>
          <w:sz w:val="24"/>
          <w:szCs w:val="24"/>
          <w:rtl w:val="0"/>
        </w:rPr>
        <w:t xml:space="preserve">estudiante </w:t>
      </w:r>
      <w:r w:rsidDel="00000000" w:rsidR="00000000" w:rsidRPr="00000000">
        <w:rPr>
          <w:rFonts w:ascii="Times New Roman" w:cs="Times New Roman" w:eastAsia="Times New Roman" w:hAnsi="Times New Roman"/>
          <w:color w:val="232300"/>
          <w:sz w:val="24"/>
          <w:szCs w:val="24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252500"/>
          <w:sz w:val="24"/>
          <w:szCs w:val="24"/>
          <w:rtl w:val="0"/>
        </w:rPr>
        <w:t xml:space="preserve">haber </w:t>
      </w:r>
      <w:r w:rsidDel="00000000" w:rsidR="00000000" w:rsidRPr="00000000">
        <w:rPr>
          <w:rFonts w:ascii="Times New Roman" w:cs="Times New Roman" w:eastAsia="Times New Roman" w:hAnsi="Times New Roman"/>
          <w:color w:val="2d2d00"/>
          <w:sz w:val="24"/>
          <w:szCs w:val="24"/>
          <w:rtl w:val="0"/>
        </w:rPr>
        <w:t xml:space="preserve">aprobado </w:t>
      </w:r>
      <w:r w:rsidDel="00000000" w:rsidR="00000000" w:rsidRPr="00000000">
        <w:rPr>
          <w:rFonts w:ascii="Times New Roman" w:cs="Times New Roman" w:eastAsia="Times New Roman" w:hAnsi="Times New Roman"/>
          <w:color w:val="292900"/>
          <w:sz w:val="24"/>
          <w:szCs w:val="24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color w:val="383800"/>
          <w:sz w:val="24"/>
          <w:szCs w:val="24"/>
          <w:rtl w:val="0"/>
        </w:rPr>
        <w:t xml:space="preserve">menos </w:t>
      </w:r>
      <w:r w:rsidDel="00000000" w:rsidR="00000000" w:rsidRPr="00000000">
        <w:rPr>
          <w:rFonts w:ascii="Times New Roman" w:cs="Times New Roman" w:eastAsia="Times New Roman" w:hAnsi="Times New Roman"/>
          <w:color w:val="272700"/>
          <w:sz w:val="24"/>
          <w:szCs w:val="24"/>
          <w:rtl w:val="0"/>
        </w:rPr>
        <w:t xml:space="preserve">una </w:t>
      </w:r>
      <w:r w:rsidDel="00000000" w:rsidR="00000000" w:rsidRPr="00000000">
        <w:rPr>
          <w:rFonts w:ascii="Times New Roman" w:cs="Times New Roman" w:eastAsia="Times New Roman" w:hAnsi="Times New Roman"/>
          <w:color w:val="303000"/>
          <w:sz w:val="24"/>
          <w:szCs w:val="24"/>
          <w:rtl w:val="0"/>
        </w:rPr>
        <w:t xml:space="preserve">obligación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curricular en el ciclo lectivo. </w:t>
      </w:r>
    </w:p>
    <w:p w:rsidR="00000000" w:rsidDel="00000000" w:rsidP="00000000" w:rsidRDefault="00000000" w:rsidRPr="00000000" w14:paraId="000000C6">
      <w:pPr>
        <w:widowControl w:val="0"/>
        <w:spacing w:after="0" w:before="292" w:lineRule="auto"/>
        <w:ind w:left="566" w:right="1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Egresado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Ser egresado del IES y estar inscripto en el padrón correspondiente. </w:t>
      </w:r>
    </w:p>
    <w:p w:rsidR="00000000" w:rsidDel="00000000" w:rsidP="00000000" w:rsidRDefault="00000000" w:rsidRPr="00000000" w14:paraId="000000C7">
      <w:pPr>
        <w:widowControl w:val="0"/>
        <w:spacing w:after="0" w:before="124" w:lineRule="auto"/>
        <w:ind w:left="556" w:right="4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docente: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 personal titular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norma de titularización por acuerdo paritario pendiente de emisión o suplente a término en horas o cargo vacante (con una antigüedad no inferior a dos años al 31/12/2021) con funciones administrativo docentes o de auxiliar docente; o interino hasta que se llame a concurso (solo para agentes comprendidos en el escalafón administrativo de ejecución y/o servicios generales). </w:t>
      </w:r>
    </w:p>
    <w:p w:rsidR="00000000" w:rsidDel="00000000" w:rsidP="00000000" w:rsidRDefault="00000000" w:rsidRPr="00000000" w14:paraId="000000C8">
      <w:pPr>
        <w:widowControl w:val="0"/>
        <w:ind w:left="431" w:right="4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ind w:left="431" w:right="4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ind w:left="431" w:right="4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ind w:left="431" w:right="4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ind w:left="431" w:right="4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ind w:left="431" w:right="4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El Consejo Directivo del Instituto de Educación Superior N° 9-028 "Prof. Estela S. Quiroga" convoca a la presentación de aspirantes al concurso de antecedentes y oposición para obtener la condición de "elegible" en los siguientes cargos. </w:t>
      </w:r>
    </w:p>
    <w:p w:rsidR="00000000" w:rsidDel="00000000" w:rsidP="00000000" w:rsidRDefault="00000000" w:rsidRPr="00000000" w14:paraId="000000CE">
      <w:pPr>
        <w:widowControl w:val="0"/>
        <w:spacing w:after="0" w:before="268" w:lineRule="auto"/>
        <w:ind w:left="451" w:right="10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Coordinador/a de la Tecnicatura superior en enología e industrias de los alimentos </w:t>
      </w:r>
    </w:p>
    <w:p w:rsidR="00000000" w:rsidDel="00000000" w:rsidP="00000000" w:rsidRDefault="00000000" w:rsidRPr="00000000" w14:paraId="000000CF">
      <w:pPr>
        <w:widowControl w:val="0"/>
        <w:spacing w:after="0" w:before="292" w:lineRule="auto"/>
        <w:ind w:left="451" w:right="4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condiciones para postularse 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cargo de Coordinador de la Tecnicatura Superior en Enología e Industrias de los Alimentos: </w:t>
      </w:r>
    </w:p>
    <w:p w:rsidR="00000000" w:rsidDel="00000000" w:rsidP="00000000" w:rsidRDefault="00000000" w:rsidRPr="00000000" w14:paraId="000000D0">
      <w:pPr>
        <w:widowControl w:val="0"/>
        <w:spacing w:after="0" w:before="264" w:lineRule="auto"/>
        <w:ind w:left="820" w:right="4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Desempeñarse como profesor titular o con norma pendiente de titularización por acuerdo paritario, en el IES N° 9-028 o suplente a término en horas vacantes acreditando una antigüedad mínima de dos años en el nivel superior al 31 de diciembre de 2021. </w:t>
      </w:r>
    </w:p>
    <w:p w:rsidR="00000000" w:rsidDel="00000000" w:rsidP="00000000" w:rsidRDefault="00000000" w:rsidRPr="00000000" w14:paraId="000000D1">
      <w:pPr>
        <w:widowControl w:val="0"/>
        <w:spacing w:after="0" w:before="134" w:lineRule="auto"/>
        <w:ind w:left="816" w:right="40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Encontrarse en situación de revista activa. </w:t>
      </w:r>
    </w:p>
    <w:p w:rsidR="00000000" w:rsidDel="00000000" w:rsidP="00000000" w:rsidRDefault="00000000" w:rsidRPr="00000000" w14:paraId="000000D2">
      <w:pPr>
        <w:widowControl w:val="0"/>
        <w:spacing w:after="0" w:before="115" w:lineRule="auto"/>
        <w:ind w:left="830" w:right="4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En el caso que no exista postulante que cumpliese con lo especificado en el punto 1, se dará cumplimiento a lo establecido en el marco regulatorio (Decreto 530) para estos casos. </w:t>
      </w:r>
    </w:p>
    <w:p w:rsidR="00000000" w:rsidDel="00000000" w:rsidP="00000000" w:rsidRDefault="00000000" w:rsidRPr="00000000" w14:paraId="000000D3">
      <w:pPr>
        <w:widowControl w:val="0"/>
        <w:spacing w:after="0" w:before="81" w:lineRule="auto"/>
        <w:ind w:left="820" w:right="4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Acreditar como mínimo 2 años de antigüedad como titular o suplente a término en horas vacantes acreditando una antigüedad mínima de dos años en el nivel superior al 31 de diciembre de 2021. </w:t>
      </w:r>
    </w:p>
    <w:p w:rsidR="00000000" w:rsidDel="00000000" w:rsidP="00000000" w:rsidRDefault="00000000" w:rsidRPr="00000000" w14:paraId="000000D4">
      <w:pPr>
        <w:widowControl w:val="0"/>
        <w:spacing w:after="0" w:before="86" w:lineRule="auto"/>
        <w:ind w:left="849" w:right="4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Acreditar título docente de nivel superior de 4 años como mínimo de duración o equivalente, o título profesional universitario y certificación de formación pedagógica otorgada por un Instituto de Formación Docente o por una Universidad Nacional, de gestión estatal o privada. En ambos casos deberá además acreditar formación posterior a su título de base, entendiéndose por tal a las licenciaturas, diplomaturas, maestrías y/o doctorados, todos vinculados con el título de base. </w:t>
      </w:r>
    </w:p>
    <w:p w:rsidR="00000000" w:rsidDel="00000000" w:rsidP="00000000" w:rsidRDefault="00000000" w:rsidRPr="00000000" w14:paraId="000000D5">
      <w:pPr>
        <w:widowControl w:val="0"/>
        <w:spacing w:after="0" w:before="134" w:lineRule="auto"/>
        <w:ind w:left="854" w:right="42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No encontrarse en cumplimiento de sanciones disciplinarias prevista en cualquiera de los niveles del sistema por suspensión, cesantía o exoneración. </w:t>
      </w:r>
    </w:p>
    <w:p w:rsidR="00000000" w:rsidDel="00000000" w:rsidP="00000000" w:rsidRDefault="00000000" w:rsidRPr="00000000" w14:paraId="000000D6">
      <w:pPr>
        <w:widowControl w:val="0"/>
        <w:spacing w:after="0" w:before="283" w:lineRule="auto"/>
        <w:ind w:left="537" w:right="55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para la Inscripción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D7">
      <w:pPr>
        <w:widowControl w:val="0"/>
        <w:spacing w:after="0" w:before="264" w:lineRule="auto"/>
        <w:ind w:left="902" w:right="372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Cumplir con las condiciones para postularse. </w:t>
      </w:r>
    </w:p>
    <w:p w:rsidR="00000000" w:rsidDel="00000000" w:rsidP="00000000" w:rsidRDefault="00000000" w:rsidRPr="00000000" w14:paraId="000000D8">
      <w:pPr>
        <w:widowControl w:val="0"/>
        <w:spacing w:after="0" w:before="76" w:lineRule="auto"/>
        <w:ind w:left="878" w:right="3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Realizar la inscripción correspondiente y presentar la documentación legalizada según cronograma. </w:t>
      </w:r>
    </w:p>
    <w:p w:rsidR="00000000" w:rsidDel="00000000" w:rsidP="00000000" w:rsidRDefault="00000000" w:rsidRPr="00000000" w14:paraId="000000D9">
      <w:pPr>
        <w:widowControl w:val="0"/>
        <w:spacing w:after="0" w:before="62" w:lineRule="auto"/>
        <w:ind w:left="883" w:right="4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Presentar proyecto en sobre cerrado e identificado con el cargo al que se postula. </w:t>
      </w:r>
    </w:p>
    <w:p w:rsidR="00000000" w:rsidDel="00000000" w:rsidP="00000000" w:rsidRDefault="00000000" w:rsidRPr="00000000" w14:paraId="000000DA">
      <w:pPr>
        <w:widowControl w:val="0"/>
        <w:spacing w:after="0" w:before="62" w:lineRule="auto"/>
        <w:ind w:left="883" w:right="4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360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condiciones para postularse al cargo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Coordinador de Prácticas Profesionalizantes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 las que se consagran en la resolución 139-22 DES: </w:t>
        <w:tab/>
      </w:r>
    </w:p>
    <w:p w:rsidR="00000000" w:rsidDel="00000000" w:rsidP="00000000" w:rsidRDefault="00000000" w:rsidRPr="00000000" w14:paraId="000000DC">
      <w:pPr>
        <w:widowControl w:val="0"/>
        <w:spacing w:line="360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docente de la institución con 2 años de antigüedad en la misma.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encontrarse en cumplimiento de sanciones disciplinarias prevista en cualquiera de los niveles del sistema por suspensión, cesantía o exoneración.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Acreditar titulación de base para desempeñarse como coordinador de Prácticas en la ETP  correspondiendise con la de un profesional universitario en carreras técnicas y/o tecnológicas de cuatro años o más y/o técnico superior o universitario. La exigencia de certificación pedagógica solo se aplicará al técnico superior o universitario.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acreditación de experiencia laboral en el sector público o privado en tareas afines al perfil técnico profesional (se excluye el ámbito educativo), que no podrá ser menor a 5 años, continuos o discontinuos, al 31 de marzo del año en que se sustancia el concurso.</w:t>
      </w:r>
    </w:p>
    <w:p w:rsidR="00000000" w:rsidDel="00000000" w:rsidP="00000000" w:rsidRDefault="00000000" w:rsidRPr="00000000" w14:paraId="000000E1">
      <w:pPr>
        <w:widowControl w:val="0"/>
        <w:spacing w:after="0" w:before="796" w:lineRule="auto"/>
        <w:ind w:left="7132" w:right="-1132" w:firstLine="0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796" w:lineRule="auto"/>
        <w:ind w:left="7132" w:right="-113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0" w:before="796" w:lineRule="auto"/>
        <w:ind w:left="7132" w:right="-1132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es9028-infd.mendoza.edu.ar/si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